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CE252"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1D2166B0"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6ACF4154"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1A139DC6"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5A0CD969"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4B7F45E4"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2B5B2DB2"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405DD582"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7A8ADC2D"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0B02757E" w14:textId="6AD4A355" w:rsidR="00BD2C68" w:rsidRPr="005C6719" w:rsidRDefault="00BD2C68" w:rsidP="00595B59">
      <w:pPr>
        <w:pStyle w:val="NormalWeb"/>
        <w:spacing w:before="0" w:beforeAutospacing="0" w:after="0" w:afterAutospacing="0" w:line="480" w:lineRule="auto"/>
        <w:jc w:val="center"/>
        <w:rPr>
          <w:color w:val="0E101A"/>
          <w:lang w:val="en-US"/>
        </w:rPr>
      </w:pPr>
      <w:r w:rsidRPr="005C6719">
        <w:rPr>
          <w:rStyle w:val="Strong"/>
          <w:color w:val="0E101A"/>
          <w:lang w:val="en-US"/>
        </w:rPr>
        <w:t>The Toulmin Problem-Solution Argument</w:t>
      </w:r>
    </w:p>
    <w:p w14:paraId="5CC5584B" w14:textId="77777777" w:rsidR="00BD2C68" w:rsidRPr="005C6719" w:rsidRDefault="00BD2C68" w:rsidP="00595B59">
      <w:pPr>
        <w:pStyle w:val="NormalWeb"/>
        <w:spacing w:before="0" w:beforeAutospacing="0" w:after="0" w:afterAutospacing="0" w:line="480" w:lineRule="auto"/>
        <w:jc w:val="center"/>
        <w:rPr>
          <w:rStyle w:val="Strong"/>
          <w:b w:val="0"/>
          <w:bCs w:val="0"/>
          <w:color w:val="0E101A"/>
          <w:lang w:val="en-US"/>
        </w:rPr>
      </w:pPr>
      <w:r w:rsidRPr="005C6719">
        <w:rPr>
          <w:rStyle w:val="Strong"/>
          <w:b w:val="0"/>
          <w:bCs w:val="0"/>
          <w:color w:val="0E101A"/>
          <w:lang w:val="en-US"/>
        </w:rPr>
        <w:t>Name</w:t>
      </w:r>
    </w:p>
    <w:p w14:paraId="4954E6BC" w14:textId="77777777" w:rsidR="00BD2C68" w:rsidRPr="005C6719" w:rsidRDefault="00BD2C68" w:rsidP="00595B59">
      <w:pPr>
        <w:pStyle w:val="NormalWeb"/>
        <w:spacing w:before="0" w:beforeAutospacing="0" w:after="0" w:afterAutospacing="0" w:line="480" w:lineRule="auto"/>
        <w:jc w:val="center"/>
        <w:rPr>
          <w:rStyle w:val="Strong"/>
          <w:b w:val="0"/>
          <w:bCs w:val="0"/>
          <w:color w:val="0E101A"/>
          <w:lang w:val="en-US"/>
        </w:rPr>
      </w:pPr>
      <w:r w:rsidRPr="005C6719">
        <w:rPr>
          <w:rStyle w:val="Strong"/>
          <w:b w:val="0"/>
          <w:bCs w:val="0"/>
          <w:color w:val="0E101A"/>
          <w:lang w:val="en-US"/>
        </w:rPr>
        <w:t>Institution</w:t>
      </w:r>
    </w:p>
    <w:p w14:paraId="12B2F988" w14:textId="77777777" w:rsidR="00BD2C68" w:rsidRPr="005C6719" w:rsidRDefault="00BD2C68" w:rsidP="00595B59">
      <w:pPr>
        <w:pStyle w:val="NormalWeb"/>
        <w:spacing w:before="0" w:beforeAutospacing="0" w:after="0" w:afterAutospacing="0" w:line="480" w:lineRule="auto"/>
        <w:jc w:val="center"/>
        <w:rPr>
          <w:rStyle w:val="Strong"/>
          <w:b w:val="0"/>
          <w:bCs w:val="0"/>
          <w:color w:val="0E101A"/>
          <w:lang w:val="en-US"/>
        </w:rPr>
      </w:pPr>
      <w:r w:rsidRPr="005C6719">
        <w:rPr>
          <w:rStyle w:val="Strong"/>
          <w:b w:val="0"/>
          <w:bCs w:val="0"/>
          <w:color w:val="0E101A"/>
          <w:lang w:val="en-US"/>
        </w:rPr>
        <w:t>Date</w:t>
      </w:r>
    </w:p>
    <w:p w14:paraId="3E0EBF51"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44F41206"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3C645465"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42FF6447"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342D3329"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2460608F"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61641CB2"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1B5248C7"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373C4C49"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11E6A0D2"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3B722860"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49BA0230" w14:textId="77777777" w:rsidR="00C607E6" w:rsidRPr="005C6719" w:rsidRDefault="00C607E6" w:rsidP="00595B59">
      <w:pPr>
        <w:pStyle w:val="NormalWeb"/>
        <w:spacing w:before="0" w:beforeAutospacing="0" w:after="0" w:afterAutospacing="0" w:line="480" w:lineRule="auto"/>
        <w:jc w:val="center"/>
        <w:rPr>
          <w:rStyle w:val="Strong"/>
          <w:color w:val="0E101A"/>
          <w:lang w:val="en-US"/>
        </w:rPr>
      </w:pPr>
    </w:p>
    <w:p w14:paraId="0BA9B5AC" w14:textId="20562E53" w:rsidR="00B03F4C" w:rsidRPr="005C6719" w:rsidRDefault="009E5B59" w:rsidP="00595B59">
      <w:pPr>
        <w:pStyle w:val="NormalWeb"/>
        <w:spacing w:before="0" w:beforeAutospacing="0" w:after="0" w:afterAutospacing="0" w:line="480" w:lineRule="auto"/>
        <w:jc w:val="center"/>
        <w:rPr>
          <w:color w:val="0E101A"/>
          <w:lang w:val="en-US"/>
        </w:rPr>
      </w:pPr>
      <w:r w:rsidRPr="005C6719">
        <w:rPr>
          <w:rStyle w:val="Strong"/>
          <w:color w:val="0E101A"/>
          <w:lang w:val="en-US"/>
        </w:rPr>
        <w:lastRenderedPageBreak/>
        <w:t>Let’s End Gender Inequality</w:t>
      </w:r>
    </w:p>
    <w:p w14:paraId="47E9CE43" w14:textId="77777777"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t>Gender inequality is the discrimination in treatment between men and women. For many years, gender inequality has been a challenge in society despite the efforts of addressing it. Women are considered to be the most affected by gender inequality, while men are considered more superior in most societies. Inequality between genders may result from societal issues, which are psychologically, biologically or culturally related. Gender inequality among women and girls may be caused by social beliefs and customs, poverty, lack of employment opportunities and illiteracy (Heise et al., 2019). Although it may be a challenging task for nations to create equality in the current society, it should be a top priority to end gender inequality by providing equal opportunities for individuals, organizations and governments to increase productivity among women and girls and support future generations.</w:t>
      </w:r>
    </w:p>
    <w:p w14:paraId="6F9AC710" w14:textId="78E69366"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t xml:space="preserve">Addressing gender inequality is essential at an individual level because it creates self-confidence and a sense of belonging in society. The division of tasks and responsibilities can </w:t>
      </w:r>
      <w:r w:rsidR="00AC3972" w:rsidRPr="005C6719">
        <w:rPr>
          <w:rStyle w:val="Strong"/>
          <w:b w:val="0"/>
          <w:bCs w:val="0"/>
          <w:color w:val="0E101A"/>
          <w:lang w:val="en-US"/>
        </w:rPr>
        <w:t>reduce</w:t>
      </w:r>
      <w:r w:rsidRPr="005C6719">
        <w:rPr>
          <w:rStyle w:val="Strong"/>
          <w:b w:val="0"/>
          <w:bCs w:val="0"/>
          <w:color w:val="0E101A"/>
          <w:lang w:val="en-US"/>
        </w:rPr>
        <w:t xml:space="preserve"> gender inequality. Division of tasks or responsibilities can be at home or the workplace. Gender differences cannot distinguish the type of job that certain people are supposed to perform. When men and women share house chores, they can get motivated and have no inferiority feeling. Both men and women can handle any job task assigned in the work area</w:t>
      </w:r>
      <w:r w:rsidR="00AC3972" w:rsidRPr="005C6719">
        <w:rPr>
          <w:rStyle w:val="Strong"/>
          <w:b w:val="0"/>
          <w:bCs w:val="0"/>
          <w:color w:val="0E101A"/>
          <w:lang w:val="en-US"/>
        </w:rPr>
        <w:t xml:space="preserve"> </w:t>
      </w:r>
      <w:r w:rsidR="00AC3972" w:rsidRPr="005C6719">
        <w:rPr>
          <w:rStyle w:val="Strong"/>
          <w:b w:val="0"/>
          <w:bCs w:val="0"/>
          <w:color w:val="0E101A"/>
          <w:lang w:val="en-US"/>
        </w:rPr>
        <w:t>(Kalpazidou et al., 2017)</w:t>
      </w:r>
      <w:r w:rsidRPr="005C6719">
        <w:rPr>
          <w:rStyle w:val="Strong"/>
          <w:b w:val="0"/>
          <w:bCs w:val="0"/>
          <w:color w:val="0E101A"/>
          <w:lang w:val="en-US"/>
        </w:rPr>
        <w:t xml:space="preserve">. Women do not have any reason to be denied chances in performing better tasks. The top positions do not belong to men only and therefore, women can also lead in higher positions. Involving both genders in all tasks can create a good working environment and enhance an excellent culture in an organization. Even though many nations have addressed gender equality for a long time, the issue is yet to get alleviated from society completely. </w:t>
      </w:r>
    </w:p>
    <w:p w14:paraId="1FD3B224" w14:textId="77777777"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lastRenderedPageBreak/>
        <w:t xml:space="preserve">Gender inequality is an important issue to be addressed worldwide, especially in the well-being of women. Health is one of the issues that matters a lot in human livelihood and it has been extended to gender differences. Therefore, addressing gender inequality is important because it leads to better healthcare for women. In most cases, women get poor healthcare treatment compared to men. According to Heise et al. (2019), inadequate health care in women can primarily be contributed by low income due to insufficient wages or high illiteracy levels. Generally, many diseases affect women more than men, like chronic pain problems and with the existence of gender inequality, women suffer most because little focus is made towards them. Therefore, women can get exposed to a greater risk in both social and health sectors.  </w:t>
      </w:r>
    </w:p>
    <w:p w14:paraId="1765D656" w14:textId="06249615"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t>Addressing gender inequality is also important because people can understand how essential it is to provide women with equal chances in education and the labor market. Women can perform the same tasks that men do towards the improvement of an organization’s performance</w:t>
      </w:r>
      <w:r w:rsidR="004C3380" w:rsidRPr="005C6719">
        <w:rPr>
          <w:rStyle w:val="Strong"/>
          <w:b w:val="0"/>
          <w:bCs w:val="0"/>
          <w:color w:val="0E101A"/>
          <w:lang w:val="en-US"/>
        </w:rPr>
        <w:t xml:space="preserve"> </w:t>
      </w:r>
      <w:r w:rsidR="004C3380" w:rsidRPr="005C6719">
        <w:rPr>
          <w:rStyle w:val="Strong"/>
          <w:b w:val="0"/>
          <w:bCs w:val="0"/>
          <w:color w:val="0E101A"/>
          <w:lang w:val="en-US"/>
        </w:rPr>
        <w:t>(Kalpazidou et al., 2017)</w:t>
      </w:r>
      <w:r w:rsidRPr="005C6719">
        <w:rPr>
          <w:rStyle w:val="Strong"/>
          <w:b w:val="0"/>
          <w:bCs w:val="0"/>
          <w:color w:val="0E101A"/>
          <w:lang w:val="en-US"/>
        </w:rPr>
        <w:t xml:space="preserve">. Diversity in gender and sexual identity within organizations is significant because it can contribute to the general performance of an organization since there is total involvement and sharing of ideas. When women are involved in a company's top leadership positions, the organization's activities, such as innovation and decision-making, can perform better, just like those led by men. The contribution of women in the business sector leads to the improvement of the economy due to increased productivity (Wodon &amp; De La Briere, 2018). More women in the workforce mean that higher output levels are most likely to be achieved. </w:t>
      </w:r>
    </w:p>
    <w:p w14:paraId="38DC711E" w14:textId="229139D4"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t xml:space="preserve">Gender inequality can highly contribute to chances of increased poverty, especially among women compared to men. Most women prefer white-collar jobs due to preference in careers, which men highly dominate. Men can perform different jobs for survival, including </w:t>
      </w:r>
      <w:r w:rsidRPr="005C6719">
        <w:rPr>
          <w:rStyle w:val="Strong"/>
          <w:b w:val="0"/>
          <w:bCs w:val="0"/>
          <w:color w:val="0E101A"/>
          <w:lang w:val="en-US"/>
        </w:rPr>
        <w:lastRenderedPageBreak/>
        <w:t>manual tasks, which they do not find suitable. Men have higher opportunities to secure job opportunities and get better wages compared to women. The number of men working, either employed by other parties or self-employed, in the world is twice more than that of women. This difference creates a poverty gap between men and women and it increases as they continue to get older. Addressing gender inequality can be an essential task because more women can get exposure, better education and gain skills and knowledge to build themselves</w:t>
      </w:r>
      <w:r w:rsidR="003702E6" w:rsidRPr="005C6719">
        <w:rPr>
          <w:rStyle w:val="Strong"/>
          <w:b w:val="0"/>
          <w:bCs w:val="0"/>
          <w:color w:val="0E101A"/>
          <w:lang w:val="en-US"/>
        </w:rPr>
        <w:t xml:space="preserve"> </w:t>
      </w:r>
      <w:r w:rsidR="003702E6" w:rsidRPr="005C6719">
        <w:rPr>
          <w:rStyle w:val="Strong"/>
          <w:b w:val="0"/>
          <w:bCs w:val="0"/>
          <w:color w:val="0E101A"/>
          <w:lang w:val="en-US"/>
        </w:rPr>
        <w:t>(Wodon &amp; De La Briere, 2018).</w:t>
      </w:r>
      <w:r w:rsidRPr="005C6719">
        <w:rPr>
          <w:rStyle w:val="Strong"/>
          <w:b w:val="0"/>
          <w:bCs w:val="0"/>
          <w:color w:val="0E101A"/>
          <w:lang w:val="en-US"/>
        </w:rPr>
        <w:t xml:space="preserve"> More women and girls can also get employed as much as men get the opportunities hence creating a source of income. Therefore, investing in gender inequality can provide more opportunities for women to earn incomes and this can help reduce the poverty levels. </w:t>
      </w:r>
    </w:p>
    <w:p w14:paraId="16AE9053" w14:textId="77777777" w:rsidR="00595B59"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t xml:space="preserve">Some studies have also been undertaken to explain the reason for gender inequality persistence. Gender inequality can be contributed by the impact of children, which affects careers. Kleven et al. (2019), conducted a study and focused on determining the effect of children in careers between genders. Care for children at home affects women more than men because, in most cases, they have to spend time looking after them. Women participate more than men in taking care of children, which makes them spend less time working. This effect can make women have incomes, especially where the job relies more on their presence. Therefore, the unavailability of women can create discrimination in recruitment for job opportunities. Children can have very minimal contribution to affect men in the labor market, which increases their (men) chances for self-development. As a result, gender differences can lead to a difference in performance in the work sector. Therefore, the presence of children can impact careers among women even though they are limited in participation due to low education and employment opportunities (Huang et al., 2020). </w:t>
      </w:r>
    </w:p>
    <w:p w14:paraId="34E5ADE8" w14:textId="568A676C"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lastRenderedPageBreak/>
        <w:t xml:space="preserve">Gender inequality contributes to the reduction in the willingness to participate in activities such as environmental sustainability. The economic gap between the genders creates a constraint in women's participation. In most cases, women have a lower economic endowment compared to men. The existing social norms and perceptions also contribute to a lack of cooperation from women. Social perceptions and norms contribute to the lack of women participation in environmental participation, such as not being able to withstand certain pressure or maximumly cooperate at the workplace. Women are limited in engaging in certain activities like leadership or making significant decisions (Kalpazidou et al., 2017). Therefore, women lack senior positions in major institutions to lead in production or development. Gender inequality contributes to poor healthcare among women. Little attention is focused on women despite them being affected by more diseases than men. Women lack access to better medical care due to the higher poverty rate, which exposes them to significant risks such as death (Heise et al., 2019). </w:t>
      </w:r>
    </w:p>
    <w:p w14:paraId="6A4D600A" w14:textId="77777777"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t xml:space="preserve">According to Wodon and De La Briere. (2018), reducing gender inequality can lead to increased production, hence a higher economic development around the globe. Women have a great potential to perform at work. Empowering women in the labor workforce can secure jobs of their interest rather than limes with their careers. Even though some women who get lucky to secure employment, especially in the informal sector, get lower payments, empowering them can create wage equality. Better wages can lead to increased performance because there is motivation to work, which can highly contribute to the increased output of an organization. Therefore, lower opportunities for can women lead to increased economic costs at personal, household, and national levels, hence creating the need for gender equality (Wodon &amp; De La Briere, 2018). </w:t>
      </w:r>
    </w:p>
    <w:p w14:paraId="356A59C4" w14:textId="54383F0E"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lastRenderedPageBreak/>
        <w:t xml:space="preserve">Solutions, such as giving women opportunities for employment, can be implemented to help address gender inequality issues. Providing women with job opportunities, especially in the formal sector, provides higher income that contributes to poverty eradication </w:t>
      </w:r>
      <w:r w:rsidR="003702E6" w:rsidRPr="005C6719">
        <w:rPr>
          <w:rStyle w:val="Strong"/>
          <w:b w:val="0"/>
          <w:bCs w:val="0"/>
          <w:color w:val="0E101A"/>
          <w:lang w:val="en-US"/>
        </w:rPr>
        <w:t>(Kalpazidou et al., 2017)</w:t>
      </w:r>
      <w:r w:rsidR="003702E6" w:rsidRPr="005C6719">
        <w:rPr>
          <w:rStyle w:val="Strong"/>
          <w:b w:val="0"/>
          <w:bCs w:val="0"/>
          <w:color w:val="0E101A"/>
          <w:lang w:val="en-US"/>
        </w:rPr>
        <w:t xml:space="preserve">. </w:t>
      </w:r>
      <w:r w:rsidRPr="005C6719">
        <w:rPr>
          <w:rStyle w:val="Strong"/>
          <w:b w:val="0"/>
          <w:bCs w:val="0"/>
          <w:color w:val="0E101A"/>
          <w:lang w:val="en-US"/>
        </w:rPr>
        <w:t xml:space="preserve">However, job opportunities are minimal in the current market and the best candidate win vacancies; hence an individual’s effort matters. Women need to be empowered by ending domestic violence. Domestic violence and sexual assault can be done through rights that protect women. However, there have been multiple cases of gender violence in the current years, where multiple men are reported as the victims. According to </w:t>
      </w:r>
      <w:r w:rsidR="003702E6" w:rsidRPr="005C6719">
        <w:rPr>
          <w:color w:val="222222"/>
          <w:shd w:val="clear" w:color="auto" w:fill="FFFFFF"/>
          <w:lang w:val="en-US"/>
        </w:rPr>
        <w:t>Schmidt</w:t>
      </w:r>
      <w:r w:rsidRPr="005C6719">
        <w:rPr>
          <w:rStyle w:val="Strong"/>
          <w:b w:val="0"/>
          <w:bCs w:val="0"/>
          <w:color w:val="0E101A"/>
          <w:lang w:val="en-US"/>
        </w:rPr>
        <w:t xml:space="preserve"> et al. (202</w:t>
      </w:r>
      <w:r w:rsidR="003702E6" w:rsidRPr="005C6719">
        <w:rPr>
          <w:rStyle w:val="Strong"/>
          <w:b w:val="0"/>
          <w:bCs w:val="0"/>
          <w:color w:val="0E101A"/>
          <w:lang w:val="en-US"/>
        </w:rPr>
        <w:t>0</w:t>
      </w:r>
      <w:r w:rsidRPr="005C6719">
        <w:rPr>
          <w:rStyle w:val="Strong"/>
          <w:b w:val="0"/>
          <w:bCs w:val="0"/>
          <w:color w:val="0E101A"/>
          <w:lang w:val="en-US"/>
        </w:rPr>
        <w:t xml:space="preserve">), women can be provided with senior leadership positions to exercise their abilities. However, it is a challenge for women to attain top positions due to their commitments, especially with children. </w:t>
      </w:r>
    </w:p>
    <w:p w14:paraId="4C0290E4" w14:textId="6EE3731E" w:rsidR="00EE1A9A" w:rsidRPr="005C6719" w:rsidRDefault="00EE1A9A" w:rsidP="00595B59">
      <w:pPr>
        <w:pStyle w:val="NormalWeb"/>
        <w:spacing w:after="0" w:afterAutospacing="0" w:line="480" w:lineRule="auto"/>
        <w:ind w:firstLine="720"/>
        <w:rPr>
          <w:rStyle w:val="Strong"/>
          <w:b w:val="0"/>
          <w:bCs w:val="0"/>
          <w:color w:val="0E101A"/>
          <w:lang w:val="en-US"/>
        </w:rPr>
      </w:pPr>
      <w:r w:rsidRPr="005C6719">
        <w:rPr>
          <w:rStyle w:val="Strong"/>
          <w:b w:val="0"/>
          <w:bCs w:val="0"/>
          <w:color w:val="0E101A"/>
          <w:lang w:val="en-US"/>
        </w:rPr>
        <w:t>The most effective solution to gender inequality is empowering women and girls to have access to education. Generally, many girls in the world have no opportunity to attend school, which is contributed by factors such as early pregnancies. Education is essential because it contributes to the depreciation of early marriage and pregnancies (</w:t>
      </w:r>
      <w:r w:rsidR="003702E6" w:rsidRPr="005C6719">
        <w:rPr>
          <w:color w:val="222222"/>
          <w:shd w:val="clear" w:color="auto" w:fill="FFFFFF"/>
          <w:lang w:val="en-US"/>
        </w:rPr>
        <w:t>Schmidt</w:t>
      </w:r>
      <w:r w:rsidRPr="005C6719">
        <w:rPr>
          <w:rStyle w:val="Strong"/>
          <w:b w:val="0"/>
          <w:bCs w:val="0"/>
          <w:color w:val="0E101A"/>
          <w:lang w:val="en-US"/>
        </w:rPr>
        <w:t xml:space="preserve"> et al., 202</w:t>
      </w:r>
      <w:r w:rsidR="003702E6" w:rsidRPr="005C6719">
        <w:rPr>
          <w:rStyle w:val="Strong"/>
          <w:b w:val="0"/>
          <w:bCs w:val="0"/>
          <w:color w:val="0E101A"/>
          <w:lang w:val="en-US"/>
        </w:rPr>
        <w:t>0</w:t>
      </w:r>
      <w:r w:rsidRPr="005C6719">
        <w:rPr>
          <w:rStyle w:val="Strong"/>
          <w:b w:val="0"/>
          <w:bCs w:val="0"/>
          <w:color w:val="0E101A"/>
          <w:lang w:val="en-US"/>
        </w:rPr>
        <w:t xml:space="preserve">). Education also gives women the opportunity to engage themselves in the formal labor market to earn a higher income, hence earning opportunities like men. Education can make women gain skills to make bold decisions and get into careers to improve their livelihood. Education is also essential because it can highly contribute to the economic success of a country. After all, more women enter the labor market, reducing the dependency rate and increasing production. </w:t>
      </w:r>
    </w:p>
    <w:p w14:paraId="10271D21" w14:textId="6B7102CD" w:rsidR="001033BE" w:rsidRPr="005C6719" w:rsidRDefault="00EE1A9A" w:rsidP="00595B59">
      <w:pPr>
        <w:pStyle w:val="NormalWeb"/>
        <w:spacing w:before="0" w:beforeAutospacing="0" w:after="0" w:afterAutospacing="0" w:line="480" w:lineRule="auto"/>
        <w:ind w:firstLine="720"/>
        <w:rPr>
          <w:rStyle w:val="Strong"/>
          <w:b w:val="0"/>
          <w:bCs w:val="0"/>
          <w:color w:val="0E101A"/>
          <w:lang w:val="en-US"/>
        </w:rPr>
      </w:pPr>
      <w:r w:rsidRPr="005C6719">
        <w:rPr>
          <w:rStyle w:val="Strong"/>
          <w:b w:val="0"/>
          <w:bCs w:val="0"/>
          <w:color w:val="0E101A"/>
          <w:lang w:val="en-US"/>
        </w:rPr>
        <w:t xml:space="preserve">Gender inequality creates unequal opportunities for men and to carry out activities in society. Women are more affected than men and therefore, the gap can be minimized by empowering them. Addressing gender inequality is important because it helps minimize women's discrimination in society both at home and workplace. Women have abilities to </w:t>
      </w:r>
      <w:r w:rsidRPr="005C6719">
        <w:rPr>
          <w:rStyle w:val="Strong"/>
          <w:b w:val="0"/>
          <w:bCs w:val="0"/>
          <w:color w:val="0E101A"/>
          <w:lang w:val="en-US"/>
        </w:rPr>
        <w:lastRenderedPageBreak/>
        <w:t>perform tasks like men and therefore, duties and responsibilities should be shared equally without discrimination. Women can be given top leadership positions because they also have abilities to lead in organizations.  Reducing gender inequality creates an opportunity for increased productivity because most people are working</w:t>
      </w:r>
      <w:r w:rsidR="00321803" w:rsidRPr="005C6719">
        <w:rPr>
          <w:rStyle w:val="Strong"/>
          <w:b w:val="0"/>
          <w:bCs w:val="0"/>
          <w:color w:val="0E101A"/>
          <w:lang w:val="en-US"/>
        </w:rPr>
        <w:t xml:space="preserve"> (</w:t>
      </w:r>
      <w:r w:rsidR="00321803" w:rsidRPr="005C6719">
        <w:rPr>
          <w:color w:val="222222"/>
          <w:shd w:val="clear" w:color="auto" w:fill="FFFFFF"/>
          <w:lang w:val="en-US"/>
        </w:rPr>
        <w:t>Maceira</w:t>
      </w:r>
      <w:r w:rsidR="00321803" w:rsidRPr="005C6719">
        <w:rPr>
          <w:color w:val="222222"/>
          <w:shd w:val="clear" w:color="auto" w:fill="FFFFFF"/>
          <w:lang w:val="en-US"/>
        </w:rPr>
        <w:t>, 2017</w:t>
      </w:r>
      <w:r w:rsidR="00321803" w:rsidRPr="005C6719">
        <w:rPr>
          <w:rStyle w:val="Strong"/>
          <w:b w:val="0"/>
          <w:bCs w:val="0"/>
          <w:color w:val="0E101A"/>
          <w:lang w:val="en-US"/>
        </w:rPr>
        <w:t>)</w:t>
      </w:r>
      <w:r w:rsidRPr="005C6719">
        <w:rPr>
          <w:rStyle w:val="Strong"/>
          <w:b w:val="0"/>
          <w:bCs w:val="0"/>
          <w:color w:val="0E101A"/>
          <w:lang w:val="en-US"/>
        </w:rPr>
        <w:t>. Therefore, the economic status of a country is increased. Women empowerment through education can significantly help minimize gender inequality.</w:t>
      </w:r>
    </w:p>
    <w:p w14:paraId="4F5EA792"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6C31E152"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5499C868"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5A61A00B"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03E5DA51"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0C743FCC"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0229856D"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5740EDA5"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53FFF381"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72BBDB10"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60CCD0AB"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172A3564"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7783DD75"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106BC694"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528CFF5C"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14518E78"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1FABAE1A"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567EE01A"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3CC8AC9D" w14:textId="77777777" w:rsidR="00595B59" w:rsidRPr="005C6719" w:rsidRDefault="00595B59" w:rsidP="00595B59">
      <w:pPr>
        <w:pStyle w:val="NormalWeb"/>
        <w:spacing w:before="0" w:beforeAutospacing="0" w:after="0" w:afterAutospacing="0" w:line="480" w:lineRule="auto"/>
        <w:jc w:val="center"/>
        <w:rPr>
          <w:rStyle w:val="Strong"/>
          <w:color w:val="0E101A"/>
          <w:lang w:val="en-US"/>
        </w:rPr>
      </w:pPr>
    </w:p>
    <w:p w14:paraId="25CD3486" w14:textId="1967C3A1" w:rsidR="00B03F4C" w:rsidRPr="005C6719" w:rsidRDefault="00B03F4C" w:rsidP="00595B59">
      <w:pPr>
        <w:pStyle w:val="NormalWeb"/>
        <w:spacing w:before="0" w:beforeAutospacing="0" w:after="0" w:afterAutospacing="0" w:line="480" w:lineRule="auto"/>
        <w:jc w:val="center"/>
        <w:rPr>
          <w:color w:val="0E101A"/>
          <w:lang w:val="en-US"/>
        </w:rPr>
      </w:pPr>
      <w:r w:rsidRPr="005C6719">
        <w:rPr>
          <w:rStyle w:val="Strong"/>
          <w:color w:val="0E101A"/>
          <w:lang w:val="en-US"/>
        </w:rPr>
        <w:lastRenderedPageBreak/>
        <w:t>References</w:t>
      </w:r>
    </w:p>
    <w:p w14:paraId="26C78E0F" w14:textId="77777777" w:rsidR="00595B59" w:rsidRPr="005C6719" w:rsidRDefault="00595B59" w:rsidP="00595B59">
      <w:pPr>
        <w:spacing w:line="480" w:lineRule="auto"/>
        <w:ind w:left="720" w:hanging="720"/>
        <w:rPr>
          <w:rFonts w:ascii="Times New Roman" w:hAnsi="Times New Roman" w:cs="Times New Roman"/>
          <w:color w:val="222222"/>
          <w:sz w:val="24"/>
          <w:szCs w:val="24"/>
          <w:shd w:val="clear" w:color="auto" w:fill="FFFFFF"/>
          <w:lang w:val="en-US"/>
        </w:rPr>
      </w:pPr>
      <w:r w:rsidRPr="005C6719">
        <w:rPr>
          <w:rFonts w:ascii="Times New Roman" w:hAnsi="Times New Roman" w:cs="Times New Roman"/>
          <w:color w:val="222222"/>
          <w:sz w:val="24"/>
          <w:szCs w:val="24"/>
          <w:shd w:val="clear" w:color="auto" w:fill="FFFFFF"/>
          <w:lang w:val="en-US"/>
        </w:rPr>
        <w:t>Heise, L., Greene, M. E., Opper, N., Stavropoulou, M., Harper, C., Nascimento, M., ... &amp; Gupta, G. R. (2019). Gender inequality and restrictive gender norms: framing the challenges to health. </w:t>
      </w:r>
      <w:r w:rsidRPr="005C6719">
        <w:rPr>
          <w:rFonts w:ascii="Times New Roman" w:hAnsi="Times New Roman" w:cs="Times New Roman"/>
          <w:i/>
          <w:iCs/>
          <w:color w:val="222222"/>
          <w:sz w:val="24"/>
          <w:szCs w:val="24"/>
          <w:shd w:val="clear" w:color="auto" w:fill="FFFFFF"/>
          <w:lang w:val="en-US"/>
        </w:rPr>
        <w:t>The Lancet</w:t>
      </w:r>
      <w:r w:rsidRPr="005C6719">
        <w:rPr>
          <w:rFonts w:ascii="Times New Roman" w:hAnsi="Times New Roman" w:cs="Times New Roman"/>
          <w:color w:val="222222"/>
          <w:sz w:val="24"/>
          <w:szCs w:val="24"/>
          <w:shd w:val="clear" w:color="auto" w:fill="FFFFFF"/>
          <w:lang w:val="en-US"/>
        </w:rPr>
        <w:t>, </w:t>
      </w:r>
      <w:r w:rsidRPr="005C6719">
        <w:rPr>
          <w:rFonts w:ascii="Times New Roman" w:hAnsi="Times New Roman" w:cs="Times New Roman"/>
          <w:i/>
          <w:iCs/>
          <w:color w:val="222222"/>
          <w:sz w:val="24"/>
          <w:szCs w:val="24"/>
          <w:shd w:val="clear" w:color="auto" w:fill="FFFFFF"/>
          <w:lang w:val="en-US"/>
        </w:rPr>
        <w:t>393</w:t>
      </w:r>
      <w:r w:rsidRPr="005C6719">
        <w:rPr>
          <w:rFonts w:ascii="Times New Roman" w:hAnsi="Times New Roman" w:cs="Times New Roman"/>
          <w:color w:val="222222"/>
          <w:sz w:val="24"/>
          <w:szCs w:val="24"/>
          <w:shd w:val="clear" w:color="auto" w:fill="FFFFFF"/>
          <w:lang w:val="en-US"/>
        </w:rPr>
        <w:t>(10189), 2440-2454.</w:t>
      </w:r>
    </w:p>
    <w:p w14:paraId="50A199A2" w14:textId="77777777" w:rsidR="00595B59" w:rsidRPr="005C6719" w:rsidRDefault="00595B59" w:rsidP="00595B59">
      <w:pPr>
        <w:spacing w:line="480" w:lineRule="auto"/>
        <w:ind w:left="720" w:hanging="720"/>
        <w:rPr>
          <w:rFonts w:ascii="Times New Roman" w:hAnsi="Times New Roman" w:cs="Times New Roman"/>
          <w:color w:val="222222"/>
          <w:sz w:val="24"/>
          <w:szCs w:val="24"/>
          <w:shd w:val="clear" w:color="auto" w:fill="FFFFFF"/>
          <w:lang w:val="en-US"/>
        </w:rPr>
      </w:pPr>
      <w:r w:rsidRPr="005C6719">
        <w:rPr>
          <w:rFonts w:ascii="Times New Roman" w:hAnsi="Times New Roman" w:cs="Times New Roman"/>
          <w:color w:val="222222"/>
          <w:sz w:val="24"/>
          <w:szCs w:val="24"/>
          <w:shd w:val="clear" w:color="auto" w:fill="FFFFFF"/>
          <w:lang w:val="en-US"/>
        </w:rPr>
        <w:t>Huang, J., Gates, A. J., Sinatra, R., &amp; Barabási, A. L. (2020). Historical comparison of gender inequality in scientific careers across countries and disciplines. </w:t>
      </w:r>
      <w:r w:rsidRPr="005C6719">
        <w:rPr>
          <w:rFonts w:ascii="Times New Roman" w:hAnsi="Times New Roman" w:cs="Times New Roman"/>
          <w:i/>
          <w:iCs/>
          <w:color w:val="222222"/>
          <w:sz w:val="24"/>
          <w:szCs w:val="24"/>
          <w:shd w:val="clear" w:color="auto" w:fill="FFFFFF"/>
          <w:lang w:val="en-US"/>
        </w:rPr>
        <w:t>Proceedings of the National Academy of Sciences</w:t>
      </w:r>
      <w:r w:rsidRPr="005C6719">
        <w:rPr>
          <w:rFonts w:ascii="Times New Roman" w:hAnsi="Times New Roman" w:cs="Times New Roman"/>
          <w:color w:val="222222"/>
          <w:sz w:val="24"/>
          <w:szCs w:val="24"/>
          <w:shd w:val="clear" w:color="auto" w:fill="FFFFFF"/>
          <w:lang w:val="en-US"/>
        </w:rPr>
        <w:t>, </w:t>
      </w:r>
      <w:r w:rsidRPr="005C6719">
        <w:rPr>
          <w:rFonts w:ascii="Times New Roman" w:hAnsi="Times New Roman" w:cs="Times New Roman"/>
          <w:i/>
          <w:iCs/>
          <w:color w:val="222222"/>
          <w:sz w:val="24"/>
          <w:szCs w:val="24"/>
          <w:shd w:val="clear" w:color="auto" w:fill="FFFFFF"/>
          <w:lang w:val="en-US"/>
        </w:rPr>
        <w:t>117</w:t>
      </w:r>
      <w:r w:rsidRPr="005C6719">
        <w:rPr>
          <w:rFonts w:ascii="Times New Roman" w:hAnsi="Times New Roman" w:cs="Times New Roman"/>
          <w:color w:val="222222"/>
          <w:sz w:val="24"/>
          <w:szCs w:val="24"/>
          <w:shd w:val="clear" w:color="auto" w:fill="FFFFFF"/>
          <w:lang w:val="en-US"/>
        </w:rPr>
        <w:t>(9), 4609-4616.</w:t>
      </w:r>
    </w:p>
    <w:p w14:paraId="628FC0EE" w14:textId="77777777" w:rsidR="00595B59" w:rsidRPr="005C6719" w:rsidRDefault="00595B59" w:rsidP="00595B59">
      <w:pPr>
        <w:spacing w:line="480" w:lineRule="auto"/>
        <w:ind w:left="720" w:hanging="720"/>
        <w:rPr>
          <w:rFonts w:ascii="Times New Roman" w:hAnsi="Times New Roman" w:cs="Times New Roman"/>
          <w:color w:val="222222"/>
          <w:sz w:val="24"/>
          <w:szCs w:val="24"/>
          <w:shd w:val="clear" w:color="auto" w:fill="FFFFFF"/>
          <w:lang w:val="en-US"/>
        </w:rPr>
      </w:pPr>
      <w:r w:rsidRPr="005C6719">
        <w:rPr>
          <w:rFonts w:ascii="Times New Roman" w:hAnsi="Times New Roman" w:cs="Times New Roman"/>
          <w:color w:val="222222"/>
          <w:sz w:val="24"/>
          <w:szCs w:val="24"/>
          <w:shd w:val="clear" w:color="auto" w:fill="FFFFFF"/>
          <w:lang w:val="en-US"/>
        </w:rPr>
        <w:t>Kalpazidou Schmidt, E., &amp; Cacace, M. (2017). Addressing gender inequality in science: the multifaceted challenge of assessing impact. </w:t>
      </w:r>
      <w:r w:rsidRPr="005C6719">
        <w:rPr>
          <w:rFonts w:ascii="Times New Roman" w:hAnsi="Times New Roman" w:cs="Times New Roman"/>
          <w:i/>
          <w:iCs/>
          <w:color w:val="222222"/>
          <w:sz w:val="24"/>
          <w:szCs w:val="24"/>
          <w:shd w:val="clear" w:color="auto" w:fill="FFFFFF"/>
          <w:lang w:val="en-US"/>
        </w:rPr>
        <w:t>Research Evaluation</w:t>
      </w:r>
      <w:r w:rsidRPr="005C6719">
        <w:rPr>
          <w:rFonts w:ascii="Times New Roman" w:hAnsi="Times New Roman" w:cs="Times New Roman"/>
          <w:color w:val="222222"/>
          <w:sz w:val="24"/>
          <w:szCs w:val="24"/>
          <w:shd w:val="clear" w:color="auto" w:fill="FFFFFF"/>
          <w:lang w:val="en-US"/>
        </w:rPr>
        <w:t>, </w:t>
      </w:r>
      <w:r w:rsidRPr="005C6719">
        <w:rPr>
          <w:rFonts w:ascii="Times New Roman" w:hAnsi="Times New Roman" w:cs="Times New Roman"/>
          <w:i/>
          <w:iCs/>
          <w:color w:val="222222"/>
          <w:sz w:val="24"/>
          <w:szCs w:val="24"/>
          <w:shd w:val="clear" w:color="auto" w:fill="FFFFFF"/>
          <w:lang w:val="en-US"/>
        </w:rPr>
        <w:t>26</w:t>
      </w:r>
      <w:r w:rsidRPr="005C6719">
        <w:rPr>
          <w:rFonts w:ascii="Times New Roman" w:hAnsi="Times New Roman" w:cs="Times New Roman"/>
          <w:color w:val="222222"/>
          <w:sz w:val="24"/>
          <w:szCs w:val="24"/>
          <w:shd w:val="clear" w:color="auto" w:fill="FFFFFF"/>
          <w:lang w:val="en-US"/>
        </w:rPr>
        <w:t>(2), 102-114.</w:t>
      </w:r>
    </w:p>
    <w:p w14:paraId="3FE94593" w14:textId="77777777" w:rsidR="00595B59" w:rsidRPr="005C6719" w:rsidRDefault="00595B59" w:rsidP="00595B59">
      <w:pPr>
        <w:spacing w:line="480" w:lineRule="auto"/>
        <w:ind w:left="720" w:hanging="720"/>
        <w:rPr>
          <w:rFonts w:ascii="Times New Roman" w:hAnsi="Times New Roman" w:cs="Times New Roman"/>
          <w:color w:val="222222"/>
          <w:sz w:val="24"/>
          <w:szCs w:val="24"/>
          <w:shd w:val="clear" w:color="auto" w:fill="FFFFFF"/>
          <w:lang w:val="en-US"/>
        </w:rPr>
      </w:pPr>
      <w:r w:rsidRPr="005C6719">
        <w:rPr>
          <w:rFonts w:ascii="Times New Roman" w:hAnsi="Times New Roman" w:cs="Times New Roman"/>
          <w:color w:val="222222"/>
          <w:sz w:val="24"/>
          <w:szCs w:val="24"/>
          <w:shd w:val="clear" w:color="auto" w:fill="FFFFFF"/>
          <w:lang w:val="en-US"/>
        </w:rPr>
        <w:t>Kleven, H., Landais, C., &amp; Søgaard, J. E. (2019). Children and gender inequality: Evidence from Denmark. </w:t>
      </w:r>
      <w:r w:rsidRPr="005C6719">
        <w:rPr>
          <w:rFonts w:ascii="Times New Roman" w:hAnsi="Times New Roman" w:cs="Times New Roman"/>
          <w:i/>
          <w:iCs/>
          <w:color w:val="222222"/>
          <w:sz w:val="24"/>
          <w:szCs w:val="24"/>
          <w:shd w:val="clear" w:color="auto" w:fill="FFFFFF"/>
          <w:lang w:val="en-US"/>
        </w:rPr>
        <w:t>American Economic Journal: Applied Economics</w:t>
      </w:r>
      <w:r w:rsidRPr="005C6719">
        <w:rPr>
          <w:rFonts w:ascii="Times New Roman" w:hAnsi="Times New Roman" w:cs="Times New Roman"/>
          <w:color w:val="222222"/>
          <w:sz w:val="24"/>
          <w:szCs w:val="24"/>
          <w:shd w:val="clear" w:color="auto" w:fill="FFFFFF"/>
          <w:lang w:val="en-US"/>
        </w:rPr>
        <w:t>, </w:t>
      </w:r>
      <w:r w:rsidRPr="005C6719">
        <w:rPr>
          <w:rFonts w:ascii="Times New Roman" w:hAnsi="Times New Roman" w:cs="Times New Roman"/>
          <w:i/>
          <w:iCs/>
          <w:color w:val="222222"/>
          <w:sz w:val="24"/>
          <w:szCs w:val="24"/>
          <w:shd w:val="clear" w:color="auto" w:fill="FFFFFF"/>
          <w:lang w:val="en-US"/>
        </w:rPr>
        <w:t>11</w:t>
      </w:r>
      <w:r w:rsidRPr="005C6719">
        <w:rPr>
          <w:rFonts w:ascii="Times New Roman" w:hAnsi="Times New Roman" w:cs="Times New Roman"/>
          <w:color w:val="222222"/>
          <w:sz w:val="24"/>
          <w:szCs w:val="24"/>
          <w:shd w:val="clear" w:color="auto" w:fill="FFFFFF"/>
          <w:lang w:val="en-US"/>
        </w:rPr>
        <w:t>(4), 181-209.</w:t>
      </w:r>
    </w:p>
    <w:p w14:paraId="731EED71" w14:textId="77777777" w:rsidR="00595B59" w:rsidRPr="005C6719" w:rsidRDefault="00595B59" w:rsidP="00595B59">
      <w:pPr>
        <w:spacing w:line="480" w:lineRule="auto"/>
        <w:ind w:left="720" w:hanging="720"/>
        <w:rPr>
          <w:rFonts w:ascii="Times New Roman" w:hAnsi="Times New Roman" w:cs="Times New Roman"/>
          <w:color w:val="222222"/>
          <w:sz w:val="24"/>
          <w:szCs w:val="24"/>
          <w:shd w:val="clear" w:color="auto" w:fill="FFFFFF"/>
          <w:lang w:val="en-US"/>
        </w:rPr>
      </w:pPr>
      <w:r w:rsidRPr="005C6719">
        <w:rPr>
          <w:rFonts w:ascii="Times New Roman" w:hAnsi="Times New Roman" w:cs="Times New Roman"/>
          <w:color w:val="222222"/>
          <w:sz w:val="24"/>
          <w:szCs w:val="24"/>
          <w:shd w:val="clear" w:color="auto" w:fill="FFFFFF"/>
          <w:lang w:val="en-US"/>
        </w:rPr>
        <w:t>Maceira, H. M. (2017). Economic benefits of gender equality in the EU. </w:t>
      </w:r>
      <w:r w:rsidRPr="005C6719">
        <w:rPr>
          <w:rFonts w:ascii="Times New Roman" w:hAnsi="Times New Roman" w:cs="Times New Roman"/>
          <w:i/>
          <w:iCs/>
          <w:color w:val="222222"/>
          <w:sz w:val="24"/>
          <w:szCs w:val="24"/>
          <w:shd w:val="clear" w:color="auto" w:fill="FFFFFF"/>
          <w:lang w:val="en-US"/>
        </w:rPr>
        <w:t>Intereconomics</w:t>
      </w:r>
      <w:r w:rsidRPr="005C6719">
        <w:rPr>
          <w:rFonts w:ascii="Times New Roman" w:hAnsi="Times New Roman" w:cs="Times New Roman"/>
          <w:color w:val="222222"/>
          <w:sz w:val="24"/>
          <w:szCs w:val="24"/>
          <w:shd w:val="clear" w:color="auto" w:fill="FFFFFF"/>
          <w:lang w:val="en-US"/>
        </w:rPr>
        <w:t>, </w:t>
      </w:r>
      <w:r w:rsidRPr="005C6719">
        <w:rPr>
          <w:rFonts w:ascii="Times New Roman" w:hAnsi="Times New Roman" w:cs="Times New Roman"/>
          <w:i/>
          <w:iCs/>
          <w:color w:val="222222"/>
          <w:sz w:val="24"/>
          <w:szCs w:val="24"/>
          <w:shd w:val="clear" w:color="auto" w:fill="FFFFFF"/>
          <w:lang w:val="en-US"/>
        </w:rPr>
        <w:t>52</w:t>
      </w:r>
      <w:r w:rsidRPr="005C6719">
        <w:rPr>
          <w:rFonts w:ascii="Times New Roman" w:hAnsi="Times New Roman" w:cs="Times New Roman"/>
          <w:color w:val="222222"/>
          <w:sz w:val="24"/>
          <w:szCs w:val="24"/>
          <w:shd w:val="clear" w:color="auto" w:fill="FFFFFF"/>
          <w:lang w:val="en-US"/>
        </w:rPr>
        <w:t>(3), 178-183.</w:t>
      </w:r>
    </w:p>
    <w:p w14:paraId="04880E7A" w14:textId="22509CE3" w:rsidR="00595B59" w:rsidRPr="005C6719" w:rsidRDefault="00595B59" w:rsidP="00595B59">
      <w:pPr>
        <w:spacing w:line="480" w:lineRule="auto"/>
        <w:ind w:left="720" w:hanging="720"/>
        <w:rPr>
          <w:rFonts w:ascii="Times New Roman" w:hAnsi="Times New Roman" w:cs="Times New Roman"/>
          <w:color w:val="222222"/>
          <w:sz w:val="24"/>
          <w:szCs w:val="24"/>
          <w:shd w:val="clear" w:color="auto" w:fill="FFFFFF"/>
          <w:lang w:val="en-US"/>
        </w:rPr>
      </w:pPr>
      <w:r w:rsidRPr="005C6719">
        <w:rPr>
          <w:rFonts w:ascii="Times New Roman" w:hAnsi="Times New Roman" w:cs="Times New Roman"/>
          <w:color w:val="222222"/>
          <w:sz w:val="24"/>
          <w:szCs w:val="24"/>
          <w:shd w:val="clear" w:color="auto" w:fill="FFFFFF"/>
          <w:lang w:val="en-US"/>
        </w:rPr>
        <w:t xml:space="preserve">Schmidt, E. K., Ovseiko, P. V., Henderson, L. R., &amp; Kiparoglou, V. (2020). Understanding the Athena SWAN award scheme for gender equality as a complex social intervention in a complex system: analysis of </w:t>
      </w:r>
      <w:r w:rsidR="00C51218" w:rsidRPr="005C6719">
        <w:rPr>
          <w:rFonts w:ascii="Times New Roman" w:hAnsi="Times New Roman" w:cs="Times New Roman"/>
          <w:color w:val="222222"/>
          <w:sz w:val="24"/>
          <w:szCs w:val="24"/>
          <w:shd w:val="clear" w:color="auto" w:fill="FFFFFF"/>
          <w:lang w:val="en-US"/>
        </w:rPr>
        <w:t>silver</w:t>
      </w:r>
      <w:r w:rsidRPr="005C6719">
        <w:rPr>
          <w:rFonts w:ascii="Times New Roman" w:hAnsi="Times New Roman" w:cs="Times New Roman"/>
          <w:color w:val="222222"/>
          <w:sz w:val="24"/>
          <w:szCs w:val="24"/>
          <w:shd w:val="clear" w:color="auto" w:fill="FFFFFF"/>
          <w:lang w:val="en-US"/>
        </w:rPr>
        <w:t xml:space="preserve"> award action plans in a comparative European perspective. </w:t>
      </w:r>
      <w:r w:rsidRPr="005C6719">
        <w:rPr>
          <w:rFonts w:ascii="Times New Roman" w:hAnsi="Times New Roman" w:cs="Times New Roman"/>
          <w:i/>
          <w:iCs/>
          <w:color w:val="222222"/>
          <w:sz w:val="24"/>
          <w:szCs w:val="24"/>
          <w:shd w:val="clear" w:color="auto" w:fill="FFFFFF"/>
          <w:lang w:val="en-US"/>
        </w:rPr>
        <w:t>Health research policy and systems</w:t>
      </w:r>
      <w:r w:rsidRPr="005C6719">
        <w:rPr>
          <w:rFonts w:ascii="Times New Roman" w:hAnsi="Times New Roman" w:cs="Times New Roman"/>
          <w:color w:val="222222"/>
          <w:sz w:val="24"/>
          <w:szCs w:val="24"/>
          <w:shd w:val="clear" w:color="auto" w:fill="FFFFFF"/>
          <w:lang w:val="en-US"/>
        </w:rPr>
        <w:t>, </w:t>
      </w:r>
      <w:r w:rsidRPr="005C6719">
        <w:rPr>
          <w:rFonts w:ascii="Times New Roman" w:hAnsi="Times New Roman" w:cs="Times New Roman"/>
          <w:i/>
          <w:iCs/>
          <w:color w:val="222222"/>
          <w:sz w:val="24"/>
          <w:szCs w:val="24"/>
          <w:shd w:val="clear" w:color="auto" w:fill="FFFFFF"/>
          <w:lang w:val="en-US"/>
        </w:rPr>
        <w:t>18</w:t>
      </w:r>
      <w:r w:rsidRPr="005C6719">
        <w:rPr>
          <w:rFonts w:ascii="Times New Roman" w:hAnsi="Times New Roman" w:cs="Times New Roman"/>
          <w:color w:val="222222"/>
          <w:sz w:val="24"/>
          <w:szCs w:val="24"/>
          <w:shd w:val="clear" w:color="auto" w:fill="FFFFFF"/>
          <w:lang w:val="en-US"/>
        </w:rPr>
        <w:t>(1), 1-21.</w:t>
      </w:r>
    </w:p>
    <w:p w14:paraId="72A00CB3" w14:textId="77777777" w:rsidR="00595B59" w:rsidRPr="005C6719" w:rsidRDefault="00595B59" w:rsidP="00595B59">
      <w:pPr>
        <w:spacing w:line="480" w:lineRule="auto"/>
        <w:ind w:left="720" w:hanging="720"/>
        <w:rPr>
          <w:rFonts w:ascii="Times New Roman" w:hAnsi="Times New Roman" w:cs="Times New Roman"/>
          <w:color w:val="222222"/>
          <w:sz w:val="24"/>
          <w:szCs w:val="24"/>
          <w:shd w:val="clear" w:color="auto" w:fill="FFFFFF"/>
          <w:lang w:val="en-US"/>
        </w:rPr>
      </w:pPr>
      <w:r w:rsidRPr="005C6719">
        <w:rPr>
          <w:rFonts w:ascii="Times New Roman" w:hAnsi="Times New Roman" w:cs="Times New Roman"/>
          <w:color w:val="222222"/>
          <w:sz w:val="24"/>
          <w:szCs w:val="24"/>
          <w:shd w:val="clear" w:color="auto" w:fill="FFFFFF"/>
          <w:lang w:val="en-US"/>
        </w:rPr>
        <w:t>Wodon, Q., &amp; De La Briere, B. (2018). Unrealized potential: the high cost of gender inequality in earnings.</w:t>
      </w:r>
    </w:p>
    <w:sectPr w:rsidR="00595B59" w:rsidRPr="005C671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4950E" w14:textId="77777777" w:rsidR="000D0ECA" w:rsidRDefault="000D0ECA" w:rsidP="000D1C34">
      <w:pPr>
        <w:spacing w:after="0" w:line="240" w:lineRule="auto"/>
      </w:pPr>
      <w:r>
        <w:separator/>
      </w:r>
    </w:p>
  </w:endnote>
  <w:endnote w:type="continuationSeparator" w:id="0">
    <w:p w14:paraId="1398BD4A" w14:textId="77777777" w:rsidR="000D0ECA" w:rsidRDefault="000D0ECA" w:rsidP="000D1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ABE9E" w14:textId="77777777" w:rsidR="000D0ECA" w:rsidRDefault="000D0ECA" w:rsidP="000D1C34">
      <w:pPr>
        <w:spacing w:after="0" w:line="240" w:lineRule="auto"/>
      </w:pPr>
      <w:r>
        <w:separator/>
      </w:r>
    </w:p>
  </w:footnote>
  <w:footnote w:type="continuationSeparator" w:id="0">
    <w:p w14:paraId="79953815" w14:textId="77777777" w:rsidR="000D0ECA" w:rsidRDefault="000D0ECA" w:rsidP="000D1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1341757"/>
      <w:docPartObj>
        <w:docPartGallery w:val="Page Numbers (Top of Page)"/>
        <w:docPartUnique/>
      </w:docPartObj>
    </w:sdtPr>
    <w:sdtEndPr>
      <w:rPr>
        <w:rFonts w:ascii="Times New Roman" w:hAnsi="Times New Roman" w:cs="Times New Roman"/>
        <w:noProof/>
        <w:sz w:val="24"/>
        <w:szCs w:val="24"/>
      </w:rPr>
    </w:sdtEndPr>
    <w:sdtContent>
      <w:p w14:paraId="5DE711F1" w14:textId="45ECCF6F" w:rsidR="000D1C34" w:rsidRPr="000D1C34" w:rsidRDefault="000D1C34">
        <w:pPr>
          <w:pStyle w:val="Header"/>
          <w:jc w:val="right"/>
          <w:rPr>
            <w:rFonts w:ascii="Times New Roman" w:hAnsi="Times New Roman" w:cs="Times New Roman"/>
            <w:sz w:val="24"/>
            <w:szCs w:val="24"/>
          </w:rPr>
        </w:pPr>
        <w:r w:rsidRPr="000D1C34">
          <w:rPr>
            <w:rFonts w:ascii="Times New Roman" w:hAnsi="Times New Roman" w:cs="Times New Roman"/>
            <w:sz w:val="24"/>
            <w:szCs w:val="24"/>
          </w:rPr>
          <w:fldChar w:fldCharType="begin"/>
        </w:r>
        <w:r w:rsidRPr="000D1C34">
          <w:rPr>
            <w:rFonts w:ascii="Times New Roman" w:hAnsi="Times New Roman" w:cs="Times New Roman"/>
            <w:sz w:val="24"/>
            <w:szCs w:val="24"/>
          </w:rPr>
          <w:instrText xml:space="preserve"> PAGE   \* MERGEFORMAT </w:instrText>
        </w:r>
        <w:r w:rsidRPr="000D1C34">
          <w:rPr>
            <w:rFonts w:ascii="Times New Roman" w:hAnsi="Times New Roman" w:cs="Times New Roman"/>
            <w:sz w:val="24"/>
            <w:szCs w:val="24"/>
          </w:rPr>
          <w:fldChar w:fldCharType="separate"/>
        </w:r>
        <w:r w:rsidRPr="000D1C34">
          <w:rPr>
            <w:rFonts w:ascii="Times New Roman" w:hAnsi="Times New Roman" w:cs="Times New Roman"/>
            <w:noProof/>
            <w:sz w:val="24"/>
            <w:szCs w:val="24"/>
          </w:rPr>
          <w:t>2</w:t>
        </w:r>
        <w:r w:rsidRPr="000D1C34">
          <w:rPr>
            <w:rFonts w:ascii="Times New Roman" w:hAnsi="Times New Roman" w:cs="Times New Roman"/>
            <w:noProof/>
            <w:sz w:val="24"/>
            <w:szCs w:val="24"/>
          </w:rPr>
          <w:fldChar w:fldCharType="end"/>
        </w:r>
      </w:p>
    </w:sdtContent>
  </w:sdt>
  <w:p w14:paraId="4E826CC3" w14:textId="77777777" w:rsidR="000D1C34" w:rsidRDefault="000D1C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34"/>
    <w:rsid w:val="000006EE"/>
    <w:rsid w:val="00011AE4"/>
    <w:rsid w:val="00086790"/>
    <w:rsid w:val="000B0FF7"/>
    <w:rsid w:val="000C7B19"/>
    <w:rsid w:val="000D0ECA"/>
    <w:rsid w:val="000D1C34"/>
    <w:rsid w:val="000E53BF"/>
    <w:rsid w:val="001033BE"/>
    <w:rsid w:val="00125ED4"/>
    <w:rsid w:val="001312DA"/>
    <w:rsid w:val="001339FD"/>
    <w:rsid w:val="00135DAE"/>
    <w:rsid w:val="00137708"/>
    <w:rsid w:val="00150A97"/>
    <w:rsid w:val="00167364"/>
    <w:rsid w:val="001733D0"/>
    <w:rsid w:val="001A27CF"/>
    <w:rsid w:val="001A36B4"/>
    <w:rsid w:val="002059E8"/>
    <w:rsid w:val="0021089B"/>
    <w:rsid w:val="0023105B"/>
    <w:rsid w:val="002323FB"/>
    <w:rsid w:val="00233C4D"/>
    <w:rsid w:val="0023762C"/>
    <w:rsid w:val="00240558"/>
    <w:rsid w:val="00274676"/>
    <w:rsid w:val="00290D84"/>
    <w:rsid w:val="002A096C"/>
    <w:rsid w:val="002D2BAD"/>
    <w:rsid w:val="002E01A9"/>
    <w:rsid w:val="002E78B2"/>
    <w:rsid w:val="00321455"/>
    <w:rsid w:val="00321803"/>
    <w:rsid w:val="00333B1C"/>
    <w:rsid w:val="003512B2"/>
    <w:rsid w:val="00365AA3"/>
    <w:rsid w:val="00370124"/>
    <w:rsid w:val="003702E6"/>
    <w:rsid w:val="00372B52"/>
    <w:rsid w:val="00391A98"/>
    <w:rsid w:val="003D3EB2"/>
    <w:rsid w:val="003E5811"/>
    <w:rsid w:val="003E7EBC"/>
    <w:rsid w:val="00404038"/>
    <w:rsid w:val="004460B9"/>
    <w:rsid w:val="00454027"/>
    <w:rsid w:val="004851B6"/>
    <w:rsid w:val="004C3380"/>
    <w:rsid w:val="004F7D7D"/>
    <w:rsid w:val="00511697"/>
    <w:rsid w:val="00511EED"/>
    <w:rsid w:val="00516649"/>
    <w:rsid w:val="005215D2"/>
    <w:rsid w:val="005305F4"/>
    <w:rsid w:val="00536433"/>
    <w:rsid w:val="005530A2"/>
    <w:rsid w:val="005567FA"/>
    <w:rsid w:val="00557AA2"/>
    <w:rsid w:val="005665DE"/>
    <w:rsid w:val="00595B59"/>
    <w:rsid w:val="005A1BDD"/>
    <w:rsid w:val="005A2026"/>
    <w:rsid w:val="005A7E49"/>
    <w:rsid w:val="005B4CC3"/>
    <w:rsid w:val="005C6719"/>
    <w:rsid w:val="005E1133"/>
    <w:rsid w:val="005E1A0F"/>
    <w:rsid w:val="006215F4"/>
    <w:rsid w:val="0063697C"/>
    <w:rsid w:val="0067549B"/>
    <w:rsid w:val="00692C8F"/>
    <w:rsid w:val="006B5C73"/>
    <w:rsid w:val="006B62C0"/>
    <w:rsid w:val="006C6E88"/>
    <w:rsid w:val="006C6FFF"/>
    <w:rsid w:val="006D2129"/>
    <w:rsid w:val="006E5CEE"/>
    <w:rsid w:val="006E7D1C"/>
    <w:rsid w:val="006F37BC"/>
    <w:rsid w:val="007108FF"/>
    <w:rsid w:val="00722525"/>
    <w:rsid w:val="00747671"/>
    <w:rsid w:val="0076183F"/>
    <w:rsid w:val="00795094"/>
    <w:rsid w:val="007A1CB4"/>
    <w:rsid w:val="007A2E4B"/>
    <w:rsid w:val="007B5945"/>
    <w:rsid w:val="007B6500"/>
    <w:rsid w:val="007E0B12"/>
    <w:rsid w:val="007F0E3E"/>
    <w:rsid w:val="007F3A23"/>
    <w:rsid w:val="007F4EF9"/>
    <w:rsid w:val="007F636D"/>
    <w:rsid w:val="0080098C"/>
    <w:rsid w:val="00843CD1"/>
    <w:rsid w:val="00876BE1"/>
    <w:rsid w:val="008A53C7"/>
    <w:rsid w:val="008A79D7"/>
    <w:rsid w:val="008D436C"/>
    <w:rsid w:val="008D7AC6"/>
    <w:rsid w:val="008D7BCA"/>
    <w:rsid w:val="008E56A6"/>
    <w:rsid w:val="008E7096"/>
    <w:rsid w:val="0090367C"/>
    <w:rsid w:val="00907E74"/>
    <w:rsid w:val="00936C28"/>
    <w:rsid w:val="0097533F"/>
    <w:rsid w:val="00977A04"/>
    <w:rsid w:val="009858D0"/>
    <w:rsid w:val="00990E2A"/>
    <w:rsid w:val="009B0C05"/>
    <w:rsid w:val="009B2399"/>
    <w:rsid w:val="009E065E"/>
    <w:rsid w:val="009E0BE9"/>
    <w:rsid w:val="009E4B5C"/>
    <w:rsid w:val="009E5B59"/>
    <w:rsid w:val="00A07136"/>
    <w:rsid w:val="00A10493"/>
    <w:rsid w:val="00A2716A"/>
    <w:rsid w:val="00A32883"/>
    <w:rsid w:val="00A334F1"/>
    <w:rsid w:val="00A43D27"/>
    <w:rsid w:val="00A55523"/>
    <w:rsid w:val="00A556DA"/>
    <w:rsid w:val="00A63FAD"/>
    <w:rsid w:val="00A7203E"/>
    <w:rsid w:val="00A8004C"/>
    <w:rsid w:val="00A84CB6"/>
    <w:rsid w:val="00AA07D1"/>
    <w:rsid w:val="00AB0B9A"/>
    <w:rsid w:val="00AC3972"/>
    <w:rsid w:val="00AC3AEA"/>
    <w:rsid w:val="00AD236A"/>
    <w:rsid w:val="00AE7A7E"/>
    <w:rsid w:val="00AF1F48"/>
    <w:rsid w:val="00AF7C1B"/>
    <w:rsid w:val="00B03F4C"/>
    <w:rsid w:val="00B121F2"/>
    <w:rsid w:val="00B17D2A"/>
    <w:rsid w:val="00B26234"/>
    <w:rsid w:val="00B32199"/>
    <w:rsid w:val="00B7633E"/>
    <w:rsid w:val="00B8127C"/>
    <w:rsid w:val="00B85D33"/>
    <w:rsid w:val="00BA2163"/>
    <w:rsid w:val="00BB330C"/>
    <w:rsid w:val="00BD2C68"/>
    <w:rsid w:val="00C02457"/>
    <w:rsid w:val="00C03204"/>
    <w:rsid w:val="00C07A57"/>
    <w:rsid w:val="00C15B1A"/>
    <w:rsid w:val="00C31A0F"/>
    <w:rsid w:val="00C44D1B"/>
    <w:rsid w:val="00C51218"/>
    <w:rsid w:val="00C607E6"/>
    <w:rsid w:val="00C610CD"/>
    <w:rsid w:val="00C71E2E"/>
    <w:rsid w:val="00C92B95"/>
    <w:rsid w:val="00CA3F13"/>
    <w:rsid w:val="00CA42C8"/>
    <w:rsid w:val="00CA7DA7"/>
    <w:rsid w:val="00CB2773"/>
    <w:rsid w:val="00CB581B"/>
    <w:rsid w:val="00CD608B"/>
    <w:rsid w:val="00CE4D04"/>
    <w:rsid w:val="00D1436B"/>
    <w:rsid w:val="00D37EBD"/>
    <w:rsid w:val="00D42A63"/>
    <w:rsid w:val="00D4397E"/>
    <w:rsid w:val="00D573CC"/>
    <w:rsid w:val="00D60197"/>
    <w:rsid w:val="00D723BC"/>
    <w:rsid w:val="00D8579D"/>
    <w:rsid w:val="00D900BE"/>
    <w:rsid w:val="00D9141D"/>
    <w:rsid w:val="00DB6FCE"/>
    <w:rsid w:val="00DC2796"/>
    <w:rsid w:val="00DC64A4"/>
    <w:rsid w:val="00DD3ACB"/>
    <w:rsid w:val="00DE4885"/>
    <w:rsid w:val="00E05A93"/>
    <w:rsid w:val="00E201AD"/>
    <w:rsid w:val="00E23E6C"/>
    <w:rsid w:val="00E27929"/>
    <w:rsid w:val="00E57404"/>
    <w:rsid w:val="00E83036"/>
    <w:rsid w:val="00E87782"/>
    <w:rsid w:val="00E96BEE"/>
    <w:rsid w:val="00EA22FE"/>
    <w:rsid w:val="00EA23D2"/>
    <w:rsid w:val="00EB3628"/>
    <w:rsid w:val="00ED7AD2"/>
    <w:rsid w:val="00EE1A9A"/>
    <w:rsid w:val="00EE6159"/>
    <w:rsid w:val="00EF7EA2"/>
    <w:rsid w:val="00F02236"/>
    <w:rsid w:val="00F06A2E"/>
    <w:rsid w:val="00F113EC"/>
    <w:rsid w:val="00F139C2"/>
    <w:rsid w:val="00F2436A"/>
    <w:rsid w:val="00F34B15"/>
    <w:rsid w:val="00F43194"/>
    <w:rsid w:val="00F503AE"/>
    <w:rsid w:val="00F73968"/>
    <w:rsid w:val="00F822E4"/>
    <w:rsid w:val="00F9366B"/>
    <w:rsid w:val="00FA6AB2"/>
    <w:rsid w:val="00FB3686"/>
    <w:rsid w:val="00FB6F42"/>
    <w:rsid w:val="00FE52FA"/>
    <w:rsid w:val="00FF0917"/>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2DD65"/>
  <w15:chartTrackingRefBased/>
  <w15:docId w15:val="{092929D8-E9C6-4C47-A332-0DC468E1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C34"/>
  </w:style>
  <w:style w:type="paragraph" w:styleId="Footer">
    <w:name w:val="footer"/>
    <w:basedOn w:val="Normal"/>
    <w:link w:val="FooterChar"/>
    <w:uiPriority w:val="99"/>
    <w:unhideWhenUsed/>
    <w:rsid w:val="000D1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C34"/>
  </w:style>
  <w:style w:type="paragraph" w:styleId="NormalWeb">
    <w:name w:val="Normal (Web)"/>
    <w:basedOn w:val="Normal"/>
    <w:uiPriority w:val="99"/>
    <w:semiHidden/>
    <w:unhideWhenUsed/>
    <w:rsid w:val="00B03F4C"/>
    <w:pPr>
      <w:spacing w:before="100" w:beforeAutospacing="1" w:after="100" w:afterAutospacing="1" w:line="240" w:lineRule="auto"/>
    </w:pPr>
    <w:rPr>
      <w:rFonts w:ascii="Times New Roman" w:eastAsia="Times New Roman" w:hAnsi="Times New Roman" w:cs="Times New Roman"/>
      <w:sz w:val="24"/>
      <w:szCs w:val="24"/>
      <w:lang w:eastAsia="en-KE"/>
    </w:rPr>
  </w:style>
  <w:style w:type="character" w:styleId="Strong">
    <w:name w:val="Strong"/>
    <w:basedOn w:val="DefaultParagraphFont"/>
    <w:uiPriority w:val="22"/>
    <w:qFormat/>
    <w:rsid w:val="00B03F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644041">
      <w:bodyDiv w:val="1"/>
      <w:marLeft w:val="0"/>
      <w:marRight w:val="0"/>
      <w:marTop w:val="0"/>
      <w:marBottom w:val="0"/>
      <w:divBdr>
        <w:top w:val="none" w:sz="0" w:space="0" w:color="auto"/>
        <w:left w:val="none" w:sz="0" w:space="0" w:color="auto"/>
        <w:bottom w:val="none" w:sz="0" w:space="0" w:color="auto"/>
        <w:right w:val="none" w:sz="0" w:space="0" w:color="auto"/>
      </w:divBdr>
    </w:div>
    <w:div w:id="207068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8</Pages>
  <Words>1773</Words>
  <Characters>10110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198</cp:revision>
  <dcterms:created xsi:type="dcterms:W3CDTF">2021-09-12T19:04:00Z</dcterms:created>
  <dcterms:modified xsi:type="dcterms:W3CDTF">2021-09-22T16:17:00Z</dcterms:modified>
</cp:coreProperties>
</file>